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1B98" w14:textId="64190299" w:rsidR="00965BFF" w:rsidRPr="00C529F8" w:rsidRDefault="00965BFF" w:rsidP="00622EEF">
      <w:pPr>
        <w:spacing w:after="0" w:line="360" w:lineRule="auto"/>
        <w:jc w:val="both"/>
        <w:rPr>
          <w:rFonts w:ascii="Arial" w:eastAsia="Times New Roman" w:hAnsi="Arial" w:cs="Arial"/>
          <w:sz w:val="34"/>
          <w:szCs w:val="34"/>
        </w:rPr>
      </w:pPr>
      <w:r>
        <w:rPr>
          <w:rFonts w:ascii="Arial" w:hAnsi="Arial"/>
          <w:sz w:val="34"/>
        </w:rPr>
        <w:t>Le semoir VITASEM entièrement revu présente ses caractéristiques innovantes</w:t>
      </w:r>
    </w:p>
    <w:p w14:paraId="2A50D023" w14:textId="77777777" w:rsidR="00965BFF" w:rsidRPr="00C529F8" w:rsidRDefault="00965BFF" w:rsidP="00622EEF">
      <w:pPr>
        <w:spacing w:after="0" w:line="360" w:lineRule="auto"/>
        <w:jc w:val="both"/>
        <w:rPr>
          <w:rFonts w:ascii="Arial" w:eastAsia="Times New Roman" w:hAnsi="Arial" w:cs="Arial"/>
          <w:sz w:val="34"/>
          <w:szCs w:val="34"/>
        </w:rPr>
      </w:pPr>
      <w:r>
        <w:rPr>
          <w:rFonts w:ascii="Arial" w:hAnsi="Arial"/>
          <w:sz w:val="34"/>
        </w:rPr>
        <w:t>Mécanique, pratique, efficace</w:t>
      </w:r>
    </w:p>
    <w:p w14:paraId="02D9CE39" w14:textId="705264D0" w:rsidR="0090473F" w:rsidRPr="00C02317" w:rsidRDefault="0090473F" w:rsidP="00622EEF">
      <w:pPr>
        <w:spacing w:after="0" w:line="360" w:lineRule="auto"/>
        <w:jc w:val="both"/>
        <w:rPr>
          <w:rFonts w:ascii="Arial" w:hAnsi="Arial" w:cs="Arial"/>
          <w:sz w:val="24"/>
          <w:szCs w:val="24"/>
        </w:rPr>
      </w:pPr>
      <w:r>
        <w:rPr>
          <w:rFonts w:ascii="Arial" w:hAnsi="Arial"/>
          <w:sz w:val="24"/>
        </w:rPr>
        <w:t>La combinaison d'une technique éprouvée et de fonctionnalités pratiques et ergonomiques, voilà ce qui caractérise la toute nouvelle génération de semoirs mécaniques VITASEM. Ils sont proposés en version portée ou intégrée (VITASEM M).</w:t>
      </w:r>
    </w:p>
    <w:p w14:paraId="05945EBF" w14:textId="77777777" w:rsidR="00416393" w:rsidRDefault="00416393" w:rsidP="00416393">
      <w:pPr>
        <w:spacing w:after="0" w:line="360" w:lineRule="auto"/>
        <w:jc w:val="both"/>
        <w:rPr>
          <w:rFonts w:ascii="Arial" w:eastAsia="Times New Roman" w:hAnsi="Arial" w:cs="Arial"/>
          <w:b/>
          <w:color w:val="000000" w:themeColor="text1"/>
          <w:sz w:val="24"/>
          <w:szCs w:val="24"/>
          <w:lang w:eastAsia="de-DE"/>
        </w:rPr>
      </w:pPr>
    </w:p>
    <w:p w14:paraId="4F422235" w14:textId="4714D74C" w:rsidR="00416393" w:rsidRPr="00C02317" w:rsidRDefault="00416393" w:rsidP="00416393">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Conçu pour toutes les circonstances</w:t>
      </w:r>
    </w:p>
    <w:p w14:paraId="511E812C" w14:textId="15A92E7C" w:rsidR="0090473F" w:rsidRPr="00C02317" w:rsidRDefault="0090473F" w:rsidP="00FB2306">
      <w:pPr>
        <w:spacing w:after="0" w:line="360" w:lineRule="auto"/>
        <w:jc w:val="both"/>
        <w:rPr>
          <w:rFonts w:ascii="Arial" w:hAnsi="Arial" w:cs="Arial"/>
          <w:sz w:val="24"/>
          <w:szCs w:val="24"/>
        </w:rPr>
      </w:pPr>
      <w:r>
        <w:rPr>
          <w:rFonts w:ascii="Arial" w:hAnsi="Arial"/>
          <w:sz w:val="24"/>
        </w:rPr>
        <w:t xml:space="preserve">Fidèle à la devise : « </w:t>
      </w:r>
      <w:r w:rsidR="00217770">
        <w:rPr>
          <w:rFonts w:ascii="Arial" w:hAnsi="Arial"/>
          <w:sz w:val="24"/>
        </w:rPr>
        <w:t>m</w:t>
      </w:r>
      <w:r>
        <w:rPr>
          <w:rFonts w:ascii="Arial" w:hAnsi="Arial"/>
          <w:sz w:val="24"/>
        </w:rPr>
        <w:t xml:space="preserve">écanique, pratique, efficace », le semoir VITASEM est prêt à répondre aux exigences d'exploitations de toutes tailles et à leurs conditions spécifiques. Cela se reflète dans les largeurs de travail disponibles, de 2,5 à 4,0 m, ainsi que dans les différents équipements de préparation du lit de semences pouvant être combinés au semoir. Les nombreux éléments semeurs ont fait leurs preuves et garantissent un sillon de semis propre pour une dépose parfaite de la semence. Des socs traînants, des socs </w:t>
      </w:r>
      <w:proofErr w:type="spellStart"/>
      <w:r>
        <w:rPr>
          <w:rFonts w:ascii="Arial" w:hAnsi="Arial"/>
          <w:sz w:val="24"/>
        </w:rPr>
        <w:t>monodisques</w:t>
      </w:r>
      <w:proofErr w:type="spellEnd"/>
      <w:r>
        <w:rPr>
          <w:rFonts w:ascii="Arial" w:hAnsi="Arial"/>
          <w:sz w:val="24"/>
        </w:rPr>
        <w:t xml:space="preserve"> et des socs à double disques décalés sont disponibles. Différents écartements entre-rangs et pressions de soc répondent, selon le modèle de matériel et les variantes, à toutes les exigences.</w:t>
      </w:r>
    </w:p>
    <w:p w14:paraId="79F3A67F" w14:textId="77777777" w:rsidR="00EF7B12" w:rsidRDefault="00EF7B12" w:rsidP="00EF7B12">
      <w:pPr>
        <w:spacing w:after="0" w:line="360" w:lineRule="auto"/>
        <w:jc w:val="both"/>
        <w:rPr>
          <w:rFonts w:ascii="Arial" w:eastAsia="Times New Roman" w:hAnsi="Arial" w:cs="Arial"/>
          <w:b/>
          <w:color w:val="000000" w:themeColor="text1"/>
          <w:sz w:val="24"/>
          <w:szCs w:val="24"/>
          <w:lang w:eastAsia="de-DE"/>
        </w:rPr>
      </w:pPr>
    </w:p>
    <w:p w14:paraId="59DAA241" w14:textId="1668FF0D" w:rsidR="007D5960" w:rsidRDefault="007D5960" w:rsidP="007D5960">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Des trémies généreuses</w:t>
      </w:r>
    </w:p>
    <w:p w14:paraId="4ABF4393" w14:textId="2C316A00" w:rsidR="00440EC9" w:rsidRPr="00C46E96" w:rsidRDefault="00440EC9" w:rsidP="00BB166B">
      <w:pPr>
        <w:spacing w:after="0" w:line="360" w:lineRule="auto"/>
        <w:jc w:val="both"/>
        <w:rPr>
          <w:rFonts w:ascii="Arial" w:eastAsia="Times New Roman" w:hAnsi="Arial" w:cs="Arial"/>
          <w:b/>
          <w:color w:val="000000" w:themeColor="text1"/>
          <w:sz w:val="24"/>
          <w:szCs w:val="24"/>
        </w:rPr>
      </w:pPr>
      <w:r>
        <w:rPr>
          <w:rFonts w:ascii="Arial" w:hAnsi="Arial"/>
          <w:sz w:val="24"/>
        </w:rPr>
        <w:t xml:space="preserve">Par rapport à la génération précédente, le volume des trémies de tous les modèles a été augmenté jusqu'à 25 %. Le volume varie désormais de 530 à 1 700 litres selon le modèle et les options. Cela permet de réduire les intervalles de remplissage, de diminuer la maintenance et donc d'augmenter la performance. </w:t>
      </w:r>
    </w:p>
    <w:p w14:paraId="12BFE711" w14:textId="2E0D2DE1" w:rsidR="00440EC9" w:rsidRPr="00C02317" w:rsidRDefault="00440EC9" w:rsidP="00440EC9">
      <w:pPr>
        <w:spacing w:after="0" w:line="360" w:lineRule="auto"/>
        <w:jc w:val="both"/>
        <w:rPr>
          <w:rFonts w:ascii="Arial" w:hAnsi="Arial" w:cs="Arial"/>
          <w:sz w:val="24"/>
          <w:szCs w:val="24"/>
        </w:rPr>
      </w:pPr>
      <w:r>
        <w:rPr>
          <w:rFonts w:ascii="Arial" w:hAnsi="Arial"/>
          <w:sz w:val="24"/>
        </w:rPr>
        <w:t>L'ouverture pour le remplissage est également largement dimensionnée pour faciliter le remplissage par big-bag ou godet. Une large surface de dépose pour des sacs de semences facilite le remplissage manuel. Pour un accès sûr et confortable, des mains courantes ergonomiques sont installées sur la trémie. Une large passerelle de service permet de monter et de se tenir debout en toute sécurité.</w:t>
      </w:r>
    </w:p>
    <w:p w14:paraId="1A3A1003" w14:textId="0A0EEAC0" w:rsidR="00C529F8" w:rsidRDefault="00C529F8">
      <w:pPr>
        <w:rPr>
          <w:rFonts w:ascii="Arial" w:hAnsi="Arial" w:cs="Arial"/>
          <w:b/>
          <w:bCs/>
          <w:sz w:val="24"/>
          <w:szCs w:val="24"/>
        </w:rPr>
      </w:pPr>
      <w:r>
        <w:br w:type="page"/>
      </w:r>
    </w:p>
    <w:p w14:paraId="08E880FF" w14:textId="559397F9" w:rsidR="003100E2" w:rsidRPr="00C02317" w:rsidRDefault="003100E2" w:rsidP="003100E2">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lastRenderedPageBreak/>
        <w:t>Système multidistributions</w:t>
      </w:r>
    </w:p>
    <w:p w14:paraId="585ED5DF" w14:textId="4F1BBCD3" w:rsidR="00EC1424" w:rsidRDefault="0090473F" w:rsidP="0090473F">
      <w:pPr>
        <w:spacing w:after="0" w:line="360" w:lineRule="auto"/>
        <w:jc w:val="both"/>
        <w:rPr>
          <w:rFonts w:ascii="Arial" w:hAnsi="Arial" w:cs="Arial"/>
          <w:sz w:val="24"/>
          <w:szCs w:val="24"/>
        </w:rPr>
      </w:pPr>
      <w:r>
        <w:rPr>
          <w:rFonts w:ascii="Arial" w:hAnsi="Arial"/>
          <w:sz w:val="24"/>
        </w:rPr>
        <w:t xml:space="preserve">Graine par graine : </w:t>
      </w:r>
      <w:r w:rsidR="00217770">
        <w:rPr>
          <w:rFonts w:ascii="Arial" w:hAnsi="Arial"/>
          <w:sz w:val="24"/>
        </w:rPr>
        <w:t>l</w:t>
      </w:r>
      <w:r>
        <w:rPr>
          <w:rFonts w:ascii="Arial" w:hAnsi="Arial"/>
          <w:sz w:val="24"/>
        </w:rPr>
        <w:t>a distribution unique des semences est la marque de fabrique des semoirs VITASEM. Pour une large gamme d'applications, deux roues distributrices indépendantes sont disposées dans un même carter. Les deux roues de distribution sont montées ensemble sur l'arbre de distribution.</w:t>
      </w:r>
    </w:p>
    <w:p w14:paraId="4A1B6F66" w14:textId="551A0F7F" w:rsidR="0090473F" w:rsidRPr="00C02317" w:rsidRDefault="00EC1424" w:rsidP="0090473F">
      <w:pPr>
        <w:spacing w:after="0" w:line="360" w:lineRule="auto"/>
        <w:jc w:val="both"/>
        <w:rPr>
          <w:rFonts w:ascii="Arial" w:hAnsi="Arial" w:cs="Arial"/>
          <w:sz w:val="24"/>
          <w:szCs w:val="24"/>
        </w:rPr>
      </w:pPr>
      <w:r>
        <w:rPr>
          <w:rFonts w:ascii="Arial" w:hAnsi="Arial"/>
          <w:sz w:val="24"/>
        </w:rPr>
        <w:t>Cela permet de passer sans outil d'une distribution de semences normales à une distribution de petites graines en quelques secondes. Différents inserts de réduction sont disponibles pour augmenter encore la polyvalence en matière de semence.</w:t>
      </w:r>
    </w:p>
    <w:p w14:paraId="6C3A8C95" w14:textId="77777777" w:rsidR="0088515A" w:rsidRPr="00C02317" w:rsidRDefault="0090473F" w:rsidP="0090473F">
      <w:pPr>
        <w:spacing w:after="0" w:line="360" w:lineRule="auto"/>
        <w:jc w:val="both"/>
        <w:rPr>
          <w:rFonts w:ascii="Arial" w:hAnsi="Arial" w:cs="Arial"/>
          <w:sz w:val="24"/>
          <w:szCs w:val="24"/>
        </w:rPr>
      </w:pPr>
      <w:r>
        <w:rPr>
          <w:rFonts w:ascii="Arial" w:hAnsi="Arial"/>
          <w:sz w:val="24"/>
        </w:rPr>
        <w:t xml:space="preserve">Les objectifs de cette technique sont le réglage précis des doses de semis recherchées et une répartition optimale de la densité de semis, ce qui est largement favorisé par ce système éprouvé. </w:t>
      </w:r>
    </w:p>
    <w:p w14:paraId="7EC02A5C" w14:textId="77777777" w:rsidR="00C3412F" w:rsidRDefault="00C3412F" w:rsidP="00C3412F">
      <w:pPr>
        <w:spacing w:after="0" w:line="360" w:lineRule="auto"/>
        <w:jc w:val="both"/>
        <w:rPr>
          <w:rFonts w:ascii="Arial" w:hAnsi="Arial" w:cs="Arial"/>
          <w:b/>
          <w:bCs/>
          <w:sz w:val="24"/>
          <w:szCs w:val="24"/>
        </w:rPr>
      </w:pPr>
    </w:p>
    <w:p w14:paraId="15FD326E" w14:textId="436B198E" w:rsidR="00C3412F" w:rsidRPr="000C401E" w:rsidRDefault="00C3412F" w:rsidP="00C3412F">
      <w:pPr>
        <w:spacing w:after="0" w:line="360" w:lineRule="auto"/>
        <w:jc w:val="both"/>
        <w:rPr>
          <w:rFonts w:ascii="Arial" w:hAnsi="Arial" w:cs="Arial"/>
          <w:b/>
          <w:bCs/>
          <w:sz w:val="24"/>
          <w:szCs w:val="24"/>
        </w:rPr>
      </w:pPr>
      <w:r>
        <w:rPr>
          <w:rFonts w:ascii="Arial" w:hAnsi="Arial"/>
          <w:b/>
          <w:sz w:val="24"/>
        </w:rPr>
        <w:t xml:space="preserve">Des commandes pratiques </w:t>
      </w:r>
    </w:p>
    <w:p w14:paraId="5B42189E" w14:textId="4355D075" w:rsidR="007A4A54" w:rsidRPr="00C02317" w:rsidRDefault="00440EC9" w:rsidP="007A4A54">
      <w:pPr>
        <w:spacing w:after="0" w:line="360" w:lineRule="auto"/>
        <w:jc w:val="both"/>
        <w:rPr>
          <w:rFonts w:ascii="Arial" w:hAnsi="Arial" w:cs="Arial"/>
          <w:sz w:val="24"/>
          <w:szCs w:val="24"/>
        </w:rPr>
      </w:pPr>
      <w:r>
        <w:rPr>
          <w:rFonts w:ascii="Arial" w:hAnsi="Arial"/>
          <w:sz w:val="24"/>
        </w:rPr>
        <w:t>L'ensemble des commandes de la machine s'effectue de manière simple et confortable sur le côté gauche du matériel. Le contrôle de l'étalonnage et l'accès à la passerelle de chargement se trouvent également de ce côté.</w:t>
      </w:r>
    </w:p>
    <w:p w14:paraId="21BCE3BB" w14:textId="76A63B52" w:rsidR="00440EC9" w:rsidRPr="00C02317" w:rsidRDefault="007A4A54" w:rsidP="00440EC9">
      <w:pPr>
        <w:spacing w:after="0" w:line="360" w:lineRule="auto"/>
        <w:jc w:val="both"/>
        <w:rPr>
          <w:rFonts w:ascii="Arial" w:hAnsi="Arial" w:cs="Arial"/>
          <w:sz w:val="24"/>
          <w:szCs w:val="24"/>
        </w:rPr>
      </w:pPr>
      <w:r>
        <w:rPr>
          <w:rFonts w:ascii="Arial" w:hAnsi="Arial"/>
          <w:sz w:val="24"/>
        </w:rPr>
        <w:t xml:space="preserve">Un étalonnage adéquat est essentiel pour une répartition régulière des semences et, par conséquent, pour une levée homogène. PÖTTINGER facilite le processus d'étalonnage grâce à de nombreuses fonctionnalités pratiques, afin que le soc semeur reçoive ce que l'utilisateur souhaite semer. L'étalonnage est effectué mécaniquement de série par une manivelle d'étalonnage. Un dispositif électrique d'aide à l'étalonnage est disponible en option sur les matériels équipés d'un entraînement mécanique. Le moteur évite d'avoir à tourner la manivelle à la main et tourne toujours à un régime constant. </w:t>
      </w:r>
    </w:p>
    <w:p w14:paraId="324113DC" w14:textId="3B3042BE" w:rsidR="004A6F02" w:rsidRDefault="00440EC9" w:rsidP="00440EC9">
      <w:pPr>
        <w:spacing w:after="0" w:line="360" w:lineRule="auto"/>
        <w:jc w:val="both"/>
        <w:rPr>
          <w:rFonts w:ascii="Arial" w:hAnsi="Arial" w:cs="Arial"/>
          <w:sz w:val="24"/>
          <w:szCs w:val="24"/>
        </w:rPr>
      </w:pPr>
      <w:r>
        <w:rPr>
          <w:rFonts w:ascii="Arial" w:hAnsi="Arial"/>
          <w:sz w:val="24"/>
        </w:rPr>
        <w:t xml:space="preserve">L'un des grands bénéfices offert par le </w:t>
      </w:r>
      <w:proofErr w:type="spellStart"/>
      <w:r>
        <w:rPr>
          <w:rFonts w:ascii="Arial" w:hAnsi="Arial"/>
          <w:sz w:val="24"/>
        </w:rPr>
        <w:t>redesign</w:t>
      </w:r>
      <w:proofErr w:type="spellEnd"/>
      <w:r>
        <w:rPr>
          <w:rFonts w:ascii="Arial" w:hAnsi="Arial"/>
          <w:sz w:val="24"/>
        </w:rPr>
        <w:t xml:space="preserve"> du VITASEM est la visibilité permanente des augets pendant l'étalonnage. Il est ainsi possible de voir les quantités distribuées pour chaque rangée et de réajuster immédiatement en cas de mauvais réglage de la distribution. D'une part, les augets peuvent être facilement retirés latéralement, d'autre part, ils peuvent être retirés depuis la passerelle de chargement. Cela permet d'augmenter la flexibilité lors du processus d'étalonnage.</w:t>
      </w:r>
    </w:p>
    <w:p w14:paraId="03B71DB3" w14:textId="77777777" w:rsidR="00806809" w:rsidRPr="00217770" w:rsidRDefault="00806809" w:rsidP="00440EC9">
      <w:pPr>
        <w:spacing w:after="0" w:line="360" w:lineRule="auto"/>
        <w:jc w:val="both"/>
        <w:rPr>
          <w:rFonts w:ascii="Arial" w:hAnsi="Arial" w:cs="Arial"/>
          <w:sz w:val="24"/>
          <w:szCs w:val="24"/>
        </w:rPr>
      </w:pPr>
    </w:p>
    <w:p w14:paraId="20FF4F1D" w14:textId="7DA15602" w:rsidR="000E3415" w:rsidRDefault="00D8451A" w:rsidP="00440EC9">
      <w:pPr>
        <w:spacing w:after="0" w:line="360" w:lineRule="auto"/>
        <w:jc w:val="both"/>
        <w:rPr>
          <w:rFonts w:ascii="Arial" w:hAnsi="Arial"/>
          <w:sz w:val="24"/>
        </w:rPr>
      </w:pPr>
      <w:r>
        <w:rPr>
          <w:rFonts w:ascii="Arial" w:hAnsi="Arial"/>
          <w:sz w:val="24"/>
        </w:rPr>
        <w:lastRenderedPageBreak/>
        <w:t xml:space="preserve">Les semoirs intégrés VITASEM M 3000 et VITASEM M 4000 sont compatibles avec le système </w:t>
      </w:r>
      <w:proofErr w:type="spellStart"/>
      <w:r>
        <w:rPr>
          <w:rFonts w:ascii="Arial" w:hAnsi="Arial"/>
          <w:sz w:val="24"/>
        </w:rPr>
        <w:t>agrirouter</w:t>
      </w:r>
      <w:proofErr w:type="spellEnd"/>
      <w:r>
        <w:rPr>
          <w:rFonts w:ascii="Arial" w:hAnsi="Arial"/>
          <w:sz w:val="24"/>
        </w:rPr>
        <w:t xml:space="preserve"> grâce à l'entraînement de distribution électrique en option.</w:t>
      </w:r>
    </w:p>
    <w:p w14:paraId="67F7661B" w14:textId="77777777" w:rsidR="00824401" w:rsidRDefault="00824401" w:rsidP="00440EC9">
      <w:pPr>
        <w:spacing w:after="0" w:line="360" w:lineRule="auto"/>
        <w:jc w:val="both"/>
        <w:rPr>
          <w:rFonts w:ascii="Arial" w:hAnsi="Arial"/>
          <w:sz w:val="24"/>
        </w:rPr>
      </w:pPr>
    </w:p>
    <w:p w14:paraId="57E76A08" w14:textId="77777777" w:rsidR="00824401" w:rsidRDefault="00824401" w:rsidP="00440EC9">
      <w:pPr>
        <w:spacing w:after="0" w:line="360" w:lineRule="auto"/>
        <w:jc w:val="both"/>
        <w:rPr>
          <w:rFonts w:ascii="Arial" w:hAnsi="Arial" w:cs="Arial"/>
          <w:sz w:val="24"/>
          <w:szCs w:val="24"/>
        </w:rPr>
      </w:pPr>
    </w:p>
    <w:p w14:paraId="4D396DFD" w14:textId="77777777" w:rsidR="00806809" w:rsidRDefault="00806809" w:rsidP="00806809">
      <w:pPr>
        <w:spacing w:line="360" w:lineRule="auto"/>
        <w:jc w:val="both"/>
        <w:rPr>
          <w:rFonts w:ascii="Arial" w:hAnsi="Arial" w:cs="Arial"/>
          <w:b/>
          <w:bCs/>
          <w:sz w:val="24"/>
          <w:szCs w:val="24"/>
        </w:rPr>
      </w:pPr>
      <w:r>
        <w:rPr>
          <w:rFonts w:ascii="Arial" w:hAnsi="Arial"/>
          <w:b/>
          <w:sz w:val="24"/>
        </w:rPr>
        <w:t>Aperçu des photos :</w:t>
      </w:r>
    </w:p>
    <w:tbl>
      <w:tblPr>
        <w:tblStyle w:val="Grilledutableau"/>
        <w:tblW w:w="8356" w:type="dxa"/>
        <w:tblLayout w:type="fixed"/>
        <w:tblLook w:val="04A0" w:firstRow="1" w:lastRow="0" w:firstColumn="1" w:lastColumn="0" w:noHBand="0" w:noVBand="1"/>
      </w:tblPr>
      <w:tblGrid>
        <w:gridCol w:w="4390"/>
        <w:gridCol w:w="3966"/>
      </w:tblGrid>
      <w:tr w:rsidR="00806809" w:rsidRPr="000333B1" w14:paraId="608313D6" w14:textId="77777777" w:rsidTr="00217770">
        <w:trPr>
          <w:trHeight w:val="1544"/>
        </w:trPr>
        <w:tc>
          <w:tcPr>
            <w:tcW w:w="4390" w:type="dxa"/>
            <w:vAlign w:val="center"/>
          </w:tcPr>
          <w:p w14:paraId="63971B54" w14:textId="2B0C155B" w:rsidR="00963ED2" w:rsidRPr="00217770" w:rsidRDefault="00963ED2" w:rsidP="00217770">
            <w:pPr>
              <w:autoSpaceDE w:val="0"/>
              <w:autoSpaceDN w:val="0"/>
              <w:adjustRightInd w:val="0"/>
              <w:spacing w:before="120" w:after="120"/>
              <w:jc w:val="center"/>
              <w:rPr>
                <w:rFonts w:ascii="Arial" w:hAnsi="Arial"/>
              </w:rPr>
            </w:pPr>
            <w:bookmarkStart w:id="0" w:name="_Hlk89175597"/>
            <w:r w:rsidRPr="00217770">
              <w:rPr>
                <w:noProof/>
              </w:rPr>
              <w:drawing>
                <wp:inline distT="0" distB="0" distL="0" distR="0" wp14:anchorId="4967C44E" wp14:editId="73324237">
                  <wp:extent cx="1671999" cy="1116000"/>
                  <wp:effectExtent l="0" t="0" r="4445" b="8255"/>
                  <wp:docPr id="289973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1999" cy="1116000"/>
                          </a:xfrm>
                          <a:prstGeom prst="rect">
                            <a:avLst/>
                          </a:prstGeom>
                          <a:noFill/>
                          <a:ln>
                            <a:noFill/>
                          </a:ln>
                        </pic:spPr>
                      </pic:pic>
                    </a:graphicData>
                  </a:graphic>
                </wp:inline>
              </w:drawing>
            </w:r>
          </w:p>
        </w:tc>
        <w:tc>
          <w:tcPr>
            <w:tcW w:w="3966" w:type="dxa"/>
            <w:vAlign w:val="center"/>
          </w:tcPr>
          <w:p w14:paraId="237F2A36" w14:textId="56162812" w:rsidR="00806809" w:rsidRPr="00217770" w:rsidRDefault="00963ED2" w:rsidP="00217770">
            <w:pPr>
              <w:autoSpaceDE w:val="0"/>
              <w:autoSpaceDN w:val="0"/>
              <w:adjustRightInd w:val="0"/>
              <w:spacing w:before="120" w:after="120"/>
              <w:jc w:val="center"/>
              <w:rPr>
                <w:rFonts w:ascii="Arial" w:hAnsi="Arial"/>
              </w:rPr>
            </w:pPr>
            <w:r w:rsidRPr="00217770">
              <w:rPr>
                <w:noProof/>
              </w:rPr>
              <w:drawing>
                <wp:inline distT="0" distB="0" distL="0" distR="0" wp14:anchorId="4256B62E" wp14:editId="068E5BD1">
                  <wp:extent cx="1671996" cy="1116000"/>
                  <wp:effectExtent l="0" t="0" r="4445" b="8255"/>
                  <wp:docPr id="6869185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1996" cy="1116000"/>
                          </a:xfrm>
                          <a:prstGeom prst="rect">
                            <a:avLst/>
                          </a:prstGeom>
                          <a:noFill/>
                          <a:ln>
                            <a:noFill/>
                          </a:ln>
                        </pic:spPr>
                      </pic:pic>
                    </a:graphicData>
                  </a:graphic>
                </wp:inline>
              </w:drawing>
            </w:r>
          </w:p>
        </w:tc>
      </w:tr>
      <w:tr w:rsidR="00806809" w:rsidRPr="000333B1" w14:paraId="2E936F52" w14:textId="77777777" w:rsidTr="00217770">
        <w:trPr>
          <w:trHeight w:val="485"/>
        </w:trPr>
        <w:tc>
          <w:tcPr>
            <w:tcW w:w="4390" w:type="dxa"/>
            <w:vAlign w:val="center"/>
          </w:tcPr>
          <w:p w14:paraId="1F9CD7C1" w14:textId="78C8CA9C" w:rsidR="00806809" w:rsidRPr="00E502FC" w:rsidRDefault="00806809" w:rsidP="00217770">
            <w:pPr>
              <w:autoSpaceDE w:val="0"/>
              <w:autoSpaceDN w:val="0"/>
              <w:adjustRightInd w:val="0"/>
              <w:spacing w:before="120" w:after="120"/>
              <w:jc w:val="center"/>
              <w:rPr>
                <w:rFonts w:ascii="Arial" w:hAnsi="Arial"/>
                <w:color w:val="FF0000"/>
                <w:sz w:val="22"/>
                <w:szCs w:val="22"/>
              </w:rPr>
            </w:pPr>
            <w:r>
              <w:rPr>
                <w:rFonts w:ascii="Arial" w:hAnsi="Arial"/>
                <w:sz w:val="22"/>
              </w:rPr>
              <w:t>Semoir mécanique VITASEM M 3000 DD pour une préparation optimale du lit de semences</w:t>
            </w:r>
          </w:p>
        </w:tc>
        <w:tc>
          <w:tcPr>
            <w:tcW w:w="3966" w:type="dxa"/>
            <w:vAlign w:val="center"/>
          </w:tcPr>
          <w:p w14:paraId="5F0DC6E0" w14:textId="4CDE8465" w:rsidR="00806809" w:rsidRPr="00E502FC" w:rsidRDefault="00F74355" w:rsidP="00217770">
            <w:pPr>
              <w:autoSpaceDE w:val="0"/>
              <w:autoSpaceDN w:val="0"/>
              <w:adjustRightInd w:val="0"/>
              <w:spacing w:before="120" w:after="120"/>
              <w:jc w:val="center"/>
              <w:rPr>
                <w:rFonts w:ascii="Arial" w:hAnsi="Arial"/>
                <w:color w:val="FF0000"/>
                <w:sz w:val="22"/>
                <w:szCs w:val="22"/>
              </w:rPr>
            </w:pPr>
            <w:r>
              <w:rPr>
                <w:rFonts w:ascii="Arial" w:hAnsi="Arial"/>
                <w:sz w:val="22"/>
              </w:rPr>
              <w:t>Une trémie à semences généreuse augmente les performances</w:t>
            </w:r>
          </w:p>
        </w:tc>
      </w:tr>
      <w:tr w:rsidR="00806809" w:rsidRPr="00B401C0" w14:paraId="46065D7E" w14:textId="77777777" w:rsidTr="00217770">
        <w:trPr>
          <w:trHeight w:val="234"/>
        </w:trPr>
        <w:tc>
          <w:tcPr>
            <w:tcW w:w="4390" w:type="dxa"/>
            <w:vAlign w:val="center"/>
          </w:tcPr>
          <w:p w14:paraId="69225E80" w14:textId="39D9E41E" w:rsidR="00963ED2" w:rsidRPr="00B401C0" w:rsidRDefault="00824401" w:rsidP="00217770">
            <w:pPr>
              <w:spacing w:before="120" w:after="120"/>
              <w:jc w:val="center"/>
              <w:rPr>
                <w:rFonts w:ascii="Arial" w:eastAsia="Calibri" w:hAnsi="Arial" w:cs="Arial"/>
                <w:color w:val="FF0000"/>
              </w:rPr>
            </w:pPr>
            <w:hyperlink r:id="rId12" w:history="1">
              <w:r w:rsidR="004C1D85">
                <w:rPr>
                  <w:rStyle w:val="Lienhypertexte"/>
                  <w:rFonts w:ascii="Arial" w:hAnsi="Arial"/>
                </w:rPr>
                <w:t>https://www.poettinger.at/fr_fr/newsroom/pressebild/102542</w:t>
              </w:r>
            </w:hyperlink>
          </w:p>
        </w:tc>
        <w:tc>
          <w:tcPr>
            <w:tcW w:w="3966" w:type="dxa"/>
            <w:vAlign w:val="center"/>
          </w:tcPr>
          <w:p w14:paraId="669039CD" w14:textId="77113666" w:rsidR="00806809" w:rsidRPr="00217770" w:rsidRDefault="00824401" w:rsidP="00217770">
            <w:pPr>
              <w:spacing w:before="120" w:after="120"/>
              <w:jc w:val="center"/>
              <w:rPr>
                <w:rFonts w:ascii="Arial" w:eastAsia="Calibri" w:hAnsi="Arial" w:cs="Arial"/>
                <w:color w:val="FF0000"/>
              </w:rPr>
            </w:pPr>
            <w:hyperlink r:id="rId13" w:history="1">
              <w:r w:rsidR="004C1D85">
                <w:rPr>
                  <w:rStyle w:val="Lienhypertexte"/>
                  <w:rFonts w:ascii="Arial" w:hAnsi="Arial"/>
                </w:rPr>
                <w:t>https://www.poettinger.at/fr_fr/newsroom/pressebild/102544</w:t>
              </w:r>
            </w:hyperlink>
          </w:p>
        </w:tc>
      </w:tr>
      <w:bookmarkEnd w:id="0"/>
    </w:tbl>
    <w:p w14:paraId="7D3D7373" w14:textId="77777777" w:rsidR="00806809" w:rsidRPr="00217770" w:rsidRDefault="00806809" w:rsidP="00806809"/>
    <w:p w14:paraId="39830A53" w14:textId="77777777" w:rsidR="00806809" w:rsidRPr="00A20902" w:rsidRDefault="00806809" w:rsidP="00806809">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4" w:history="1">
        <w:r>
          <w:rPr>
            <w:rStyle w:val="Lienhypertexte"/>
            <w:rFonts w:ascii="Arial" w:hAnsi="Arial"/>
            <w:snapToGrid w:val="0"/>
          </w:rPr>
          <w:t>https://www.poettinger.at/fr_fr/services/downloadcenter</w:t>
        </w:r>
      </w:hyperlink>
    </w:p>
    <w:p w14:paraId="1599ED83" w14:textId="77777777" w:rsidR="00806809" w:rsidRPr="00C02317" w:rsidRDefault="00806809" w:rsidP="00440EC9">
      <w:pPr>
        <w:spacing w:after="0" w:line="360" w:lineRule="auto"/>
        <w:jc w:val="both"/>
        <w:rPr>
          <w:rFonts w:ascii="Arial" w:hAnsi="Arial" w:cs="Arial"/>
          <w:sz w:val="24"/>
          <w:szCs w:val="24"/>
        </w:rPr>
      </w:pPr>
    </w:p>
    <w:sectPr w:rsidR="00806809" w:rsidRPr="00C02317">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4859" w14:textId="77777777" w:rsidR="003C4897" w:rsidRDefault="003C4897" w:rsidP="00E01C9D">
      <w:pPr>
        <w:spacing w:after="0" w:line="240" w:lineRule="auto"/>
      </w:pPr>
      <w:r>
        <w:separator/>
      </w:r>
    </w:p>
  </w:endnote>
  <w:endnote w:type="continuationSeparator" w:id="0">
    <w:p w14:paraId="277C9279" w14:textId="77777777" w:rsidR="003C4897" w:rsidRDefault="003C4897" w:rsidP="00E0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2372" w14:textId="77777777" w:rsidR="00E01C9D" w:rsidRDefault="00E01C9D" w:rsidP="00E01C9D">
    <w:pPr>
      <w:spacing w:after="0" w:line="240" w:lineRule="auto"/>
      <w:rPr>
        <w:rFonts w:ascii="Arial" w:hAnsi="Arial" w:cs="Arial"/>
        <w:b/>
        <w:sz w:val="20"/>
        <w:szCs w:val="20"/>
      </w:rPr>
    </w:pPr>
  </w:p>
  <w:p w14:paraId="2137A8BA" w14:textId="77777777" w:rsidR="00E01C9D" w:rsidRPr="00217770" w:rsidRDefault="00E01C9D" w:rsidP="00E01C9D">
    <w:pPr>
      <w:spacing w:after="0" w:line="240" w:lineRule="auto"/>
      <w:rPr>
        <w:rFonts w:ascii="Arial" w:hAnsi="Arial" w:cs="Arial"/>
        <w:bCs/>
        <w:sz w:val="20"/>
        <w:szCs w:val="20"/>
        <w:lang w:val="de-DE"/>
      </w:rPr>
    </w:pPr>
    <w:r w:rsidRPr="00217770">
      <w:rPr>
        <w:rFonts w:ascii="Arial" w:hAnsi="Arial"/>
        <w:b/>
        <w:sz w:val="20"/>
        <w:lang w:val="de-DE"/>
      </w:rPr>
      <w:t xml:space="preserve">PÖTTINGER Landtechnik GmbH – </w:t>
    </w:r>
    <w:r w:rsidRPr="00217770">
      <w:rPr>
        <w:rFonts w:ascii="Arial" w:hAnsi="Arial"/>
        <w:sz w:val="20"/>
        <w:lang w:val="de-DE"/>
      </w:rPr>
      <w:t xml:space="preserve">Communication </w:t>
    </w:r>
    <w:proofErr w:type="spellStart"/>
    <w:r w:rsidRPr="00217770">
      <w:rPr>
        <w:rFonts w:ascii="Arial" w:hAnsi="Arial"/>
        <w:sz w:val="20"/>
        <w:lang w:val="de-DE"/>
      </w:rPr>
      <w:t>d'entreprise</w:t>
    </w:r>
    <w:proofErr w:type="spellEnd"/>
  </w:p>
  <w:p w14:paraId="6F50B904" w14:textId="77777777" w:rsidR="00E01C9D" w:rsidRPr="00217770" w:rsidRDefault="00E01C9D" w:rsidP="00E01C9D">
    <w:pPr>
      <w:spacing w:after="0" w:line="240" w:lineRule="auto"/>
      <w:rPr>
        <w:rFonts w:ascii="Arial" w:hAnsi="Arial" w:cs="Arial"/>
        <w:sz w:val="20"/>
        <w:szCs w:val="20"/>
        <w:lang w:val="de-DE"/>
      </w:rPr>
    </w:pPr>
    <w:r w:rsidRPr="00217770">
      <w:rPr>
        <w:rFonts w:ascii="Arial" w:hAnsi="Arial"/>
        <w:sz w:val="20"/>
        <w:lang w:val="de-DE"/>
      </w:rPr>
      <w:t>Inge Steibl, Industriegelände 1, AT-4710 Grieskirchen</w:t>
    </w:r>
  </w:p>
  <w:p w14:paraId="06D6B94E" w14:textId="6630C352" w:rsidR="00E01C9D" w:rsidRPr="00CC4B04" w:rsidRDefault="00E01C9D" w:rsidP="00E01C9D">
    <w:pPr>
      <w:pStyle w:val="Pieddepage"/>
    </w:pPr>
    <w:r>
      <w:rPr>
        <w:rFonts w:ascii="Arial" w:hAnsi="Arial"/>
        <w:sz w:val="20"/>
      </w:rPr>
      <w:t xml:space="preserve">Tél. +43 7248 600-2415, </w:t>
    </w:r>
    <w:r w:rsidR="00217770">
      <w:rPr>
        <w:rFonts w:ascii="Arial" w:hAnsi="Arial"/>
        <w:sz w:val="20"/>
      </w:rPr>
      <w:t>e</w:t>
    </w:r>
    <w:r>
      <w:rPr>
        <w:rFonts w:ascii="Arial" w:hAnsi="Arial"/>
        <w:sz w:val="20"/>
      </w:rPr>
      <w:t>-</w:t>
    </w:r>
    <w:r w:rsidR="00217770">
      <w:rPr>
        <w:rFonts w:ascii="Arial" w:hAnsi="Arial"/>
        <w:sz w:val="20"/>
      </w:rPr>
      <w:t>m</w:t>
    </w:r>
    <w:r>
      <w:rPr>
        <w:rFonts w:ascii="Arial" w:hAnsi="Arial"/>
        <w:sz w:val="20"/>
      </w:rPr>
      <w:t xml:space="preserve">ail: </w:t>
    </w:r>
    <w:hyperlink r:id="rId1" w:history="1">
      <w:r>
        <w:rPr>
          <w:rFonts w:ascii="Arial" w:hAnsi="Arial"/>
          <w:sz w:val="20"/>
        </w:rPr>
        <w:t>inge.steibl@poettinger.at</w:t>
      </w:r>
    </w:hyperlink>
    <w:r>
      <w:rPr>
        <w:rFonts w:ascii="Arial" w:hAnsi="Arial"/>
        <w:sz w:val="20"/>
      </w:rPr>
      <w:t xml:space="preserve">, </w:t>
    </w:r>
    <w:hyperlink r:id="rId2" w:history="1">
      <w:r>
        <w:rPr>
          <w:rFonts w:ascii="Arial" w:hAnsi="Arial"/>
          <w:sz w:val="20"/>
        </w:rPr>
        <w:t>www.poettinger.at</w:t>
      </w:r>
    </w:hyperlink>
    <w:r w:rsidR="004C1D85">
      <w:rPr>
        <w:rFonts w:ascii="Arial" w:hAnsi="Arial"/>
        <w:sz w:val="20"/>
      </w:rPr>
      <w:tab/>
    </w:r>
    <w:r w:rsidR="004C1D85" w:rsidRPr="004C1D85">
      <w:rPr>
        <w:rFonts w:ascii="Arial" w:hAnsi="Arial"/>
        <w:sz w:val="20"/>
      </w:rPr>
      <w:fldChar w:fldCharType="begin"/>
    </w:r>
    <w:r w:rsidR="004C1D85" w:rsidRPr="004C1D85">
      <w:rPr>
        <w:rFonts w:ascii="Arial" w:hAnsi="Arial"/>
        <w:sz w:val="20"/>
      </w:rPr>
      <w:instrText>PAGE   \* MERGEFORMAT</w:instrText>
    </w:r>
    <w:r w:rsidR="004C1D85" w:rsidRPr="004C1D85">
      <w:rPr>
        <w:rFonts w:ascii="Arial" w:hAnsi="Arial"/>
        <w:sz w:val="20"/>
      </w:rPr>
      <w:fldChar w:fldCharType="separate"/>
    </w:r>
    <w:r w:rsidR="004C1D85" w:rsidRPr="004C1D85">
      <w:rPr>
        <w:rFonts w:ascii="Arial" w:hAnsi="Arial"/>
        <w:sz w:val="20"/>
      </w:rPr>
      <w:t>1</w:t>
    </w:r>
    <w:r w:rsidR="004C1D85" w:rsidRPr="004C1D85">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AA67" w14:textId="77777777" w:rsidR="003C4897" w:rsidRDefault="003C4897" w:rsidP="00E01C9D">
      <w:pPr>
        <w:spacing w:after="0" w:line="240" w:lineRule="auto"/>
      </w:pPr>
      <w:r>
        <w:separator/>
      </w:r>
    </w:p>
  </w:footnote>
  <w:footnote w:type="continuationSeparator" w:id="0">
    <w:p w14:paraId="52650347" w14:textId="77777777" w:rsidR="003C4897" w:rsidRDefault="003C4897" w:rsidP="00E01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662A" w14:textId="4325D69E" w:rsidR="008D43E7" w:rsidRDefault="00307181" w:rsidP="008D43E7">
    <w:pPr>
      <w:pStyle w:val="En-tte"/>
      <w:rPr>
        <w:rFonts w:ascii="Arial" w:hAnsi="Arial" w:cs="Arial"/>
        <w:b/>
        <w:bCs/>
        <w:sz w:val="24"/>
        <w:szCs w:val="24"/>
      </w:rPr>
    </w:pPr>
    <w:r>
      <w:rPr>
        <w:rFonts w:ascii="Arial" w:hAnsi="Arial"/>
        <w:b/>
        <w:noProof/>
        <w:sz w:val="24"/>
      </w:rPr>
      <w:drawing>
        <wp:anchor distT="0" distB="0" distL="114300" distR="114300" simplePos="0" relativeHeight="251659264" behindDoc="0" locked="0" layoutInCell="1" allowOverlap="1" wp14:anchorId="5C12374A" wp14:editId="027A7D49">
          <wp:simplePos x="0" y="0"/>
          <wp:positionH relativeFrom="column">
            <wp:posOffset>3592830</wp:posOffset>
          </wp:positionH>
          <wp:positionV relativeFrom="paragraph">
            <wp:posOffset>113030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035D9239" w14:textId="765F5AA8" w:rsidR="008D43E7" w:rsidRDefault="008D43E7" w:rsidP="008D43E7">
    <w:pPr>
      <w:pStyle w:val="En-tte"/>
      <w:rPr>
        <w:rFonts w:ascii="Arial" w:hAnsi="Arial" w:cs="Arial"/>
        <w:b/>
        <w:bCs/>
        <w:sz w:val="24"/>
        <w:szCs w:val="24"/>
      </w:rPr>
    </w:pPr>
    <w:r>
      <w:rPr>
        <w:rFonts w:ascii="Arial" w:hAnsi="Arial"/>
        <w:b/>
        <w:sz w:val="24"/>
      </w:rPr>
      <w:t>Communiqué de presse</w:t>
    </w:r>
  </w:p>
  <w:p w14:paraId="0CDF3ABA" w14:textId="77777777" w:rsidR="00E01C9D" w:rsidRDefault="00E01C9D" w:rsidP="008D43E7">
    <w:pPr>
      <w:pStyle w:val="En-tte"/>
    </w:pPr>
  </w:p>
  <w:p w14:paraId="34828D8F" w14:textId="77777777" w:rsidR="00307181" w:rsidRPr="008D43E7" w:rsidRDefault="00307181" w:rsidP="008D43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4394178">
    <w:abstractNumId w:val="1"/>
  </w:num>
  <w:num w:numId="2" w16cid:durableId="1726761384">
    <w:abstractNumId w:val="0"/>
  </w:num>
  <w:num w:numId="3" w16cid:durableId="2052486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51C90"/>
    <w:rsid w:val="00057112"/>
    <w:rsid w:val="000635D3"/>
    <w:rsid w:val="000830E6"/>
    <w:rsid w:val="000B37D7"/>
    <w:rsid w:val="000C25D8"/>
    <w:rsid w:val="000C401E"/>
    <w:rsid w:val="000C5315"/>
    <w:rsid w:val="000C760A"/>
    <w:rsid w:val="000E3415"/>
    <w:rsid w:val="00100B2C"/>
    <w:rsid w:val="0011418B"/>
    <w:rsid w:val="001919B3"/>
    <w:rsid w:val="001A0BC4"/>
    <w:rsid w:val="001A2F95"/>
    <w:rsid w:val="001A42B9"/>
    <w:rsid w:val="001D6FA3"/>
    <w:rsid w:val="001E4B64"/>
    <w:rsid w:val="002158C2"/>
    <w:rsid w:val="00217770"/>
    <w:rsid w:val="00234361"/>
    <w:rsid w:val="00244777"/>
    <w:rsid w:val="00256D63"/>
    <w:rsid w:val="0026266B"/>
    <w:rsid w:val="00266D8B"/>
    <w:rsid w:val="00281AFB"/>
    <w:rsid w:val="002D41FD"/>
    <w:rsid w:val="002E01AB"/>
    <w:rsid w:val="003023C7"/>
    <w:rsid w:val="00307181"/>
    <w:rsid w:val="003100E2"/>
    <w:rsid w:val="0031240E"/>
    <w:rsid w:val="00314AF0"/>
    <w:rsid w:val="00323575"/>
    <w:rsid w:val="00324477"/>
    <w:rsid w:val="00361320"/>
    <w:rsid w:val="003B3530"/>
    <w:rsid w:val="003C4897"/>
    <w:rsid w:val="003D2773"/>
    <w:rsid w:val="004026CA"/>
    <w:rsid w:val="00416393"/>
    <w:rsid w:val="004403EE"/>
    <w:rsid w:val="00440EC9"/>
    <w:rsid w:val="00441797"/>
    <w:rsid w:val="004805B3"/>
    <w:rsid w:val="00496ED0"/>
    <w:rsid w:val="004A6F02"/>
    <w:rsid w:val="004C1D85"/>
    <w:rsid w:val="004F0A74"/>
    <w:rsid w:val="00500864"/>
    <w:rsid w:val="0052173B"/>
    <w:rsid w:val="00533AB7"/>
    <w:rsid w:val="00542BD9"/>
    <w:rsid w:val="00551D68"/>
    <w:rsid w:val="005742E4"/>
    <w:rsid w:val="00576EB0"/>
    <w:rsid w:val="005D2ACE"/>
    <w:rsid w:val="005E083F"/>
    <w:rsid w:val="005F2F7E"/>
    <w:rsid w:val="005F793A"/>
    <w:rsid w:val="00607F32"/>
    <w:rsid w:val="00622EEF"/>
    <w:rsid w:val="00666106"/>
    <w:rsid w:val="0068663A"/>
    <w:rsid w:val="00691BDB"/>
    <w:rsid w:val="006B3A52"/>
    <w:rsid w:val="006B719F"/>
    <w:rsid w:val="006D43EF"/>
    <w:rsid w:val="006F22F4"/>
    <w:rsid w:val="007152B3"/>
    <w:rsid w:val="00721DC2"/>
    <w:rsid w:val="007231B1"/>
    <w:rsid w:val="00764543"/>
    <w:rsid w:val="00780B92"/>
    <w:rsid w:val="007A4A54"/>
    <w:rsid w:val="007D5960"/>
    <w:rsid w:val="00806809"/>
    <w:rsid w:val="00806A7A"/>
    <w:rsid w:val="00813CFA"/>
    <w:rsid w:val="00824401"/>
    <w:rsid w:val="0088515A"/>
    <w:rsid w:val="008937E5"/>
    <w:rsid w:val="008C7810"/>
    <w:rsid w:val="008D43E7"/>
    <w:rsid w:val="008D693C"/>
    <w:rsid w:val="008E37E1"/>
    <w:rsid w:val="0090473F"/>
    <w:rsid w:val="009115F8"/>
    <w:rsid w:val="00927B20"/>
    <w:rsid w:val="00930673"/>
    <w:rsid w:val="00963ED2"/>
    <w:rsid w:val="00965BFF"/>
    <w:rsid w:val="00984FE0"/>
    <w:rsid w:val="009E4B80"/>
    <w:rsid w:val="009F204A"/>
    <w:rsid w:val="00A560FB"/>
    <w:rsid w:val="00A63FDF"/>
    <w:rsid w:val="00A90BE0"/>
    <w:rsid w:val="00AA51CF"/>
    <w:rsid w:val="00AD443C"/>
    <w:rsid w:val="00AE2C10"/>
    <w:rsid w:val="00BB166B"/>
    <w:rsid w:val="00BB52E7"/>
    <w:rsid w:val="00BF3BA1"/>
    <w:rsid w:val="00BF5739"/>
    <w:rsid w:val="00C02317"/>
    <w:rsid w:val="00C046A4"/>
    <w:rsid w:val="00C3412F"/>
    <w:rsid w:val="00C46E96"/>
    <w:rsid w:val="00C529F8"/>
    <w:rsid w:val="00C52F7B"/>
    <w:rsid w:val="00C76640"/>
    <w:rsid w:val="00C80375"/>
    <w:rsid w:val="00CC78C2"/>
    <w:rsid w:val="00D37433"/>
    <w:rsid w:val="00D67246"/>
    <w:rsid w:val="00D8451A"/>
    <w:rsid w:val="00DA0831"/>
    <w:rsid w:val="00DC5122"/>
    <w:rsid w:val="00DE4BBB"/>
    <w:rsid w:val="00E01C9D"/>
    <w:rsid w:val="00E04E61"/>
    <w:rsid w:val="00E1649A"/>
    <w:rsid w:val="00E715D0"/>
    <w:rsid w:val="00E77227"/>
    <w:rsid w:val="00E81EB0"/>
    <w:rsid w:val="00EB5197"/>
    <w:rsid w:val="00EC1424"/>
    <w:rsid w:val="00EF7B12"/>
    <w:rsid w:val="00F1042D"/>
    <w:rsid w:val="00F74355"/>
    <w:rsid w:val="00F95EE1"/>
    <w:rsid w:val="00FB0D7B"/>
    <w:rsid w:val="00FB2306"/>
    <w:rsid w:val="00FE4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customStyle="1" w:styleId="CP">
    <w:name w:val="CP"/>
    <w:basedOn w:val="Normal"/>
    <w:next w:val="Normal"/>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Normal"/>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En-tte">
    <w:name w:val="header"/>
    <w:basedOn w:val="Normal"/>
    <w:link w:val="En-tteCar"/>
    <w:uiPriority w:val="99"/>
    <w:unhideWhenUsed/>
    <w:rsid w:val="00E01C9D"/>
    <w:pPr>
      <w:tabs>
        <w:tab w:val="center" w:pos="4536"/>
        <w:tab w:val="right" w:pos="9072"/>
      </w:tabs>
      <w:spacing w:after="0" w:line="240" w:lineRule="auto"/>
    </w:pPr>
  </w:style>
  <w:style w:type="character" w:customStyle="1" w:styleId="En-tteCar">
    <w:name w:val="En-tête Car"/>
    <w:basedOn w:val="Policepardfaut"/>
    <w:link w:val="En-tte"/>
    <w:uiPriority w:val="99"/>
    <w:rsid w:val="00E01C9D"/>
  </w:style>
  <w:style w:type="paragraph" w:styleId="Pieddepage">
    <w:name w:val="footer"/>
    <w:basedOn w:val="Normal"/>
    <w:link w:val="PieddepageCar"/>
    <w:uiPriority w:val="99"/>
    <w:unhideWhenUsed/>
    <w:rsid w:val="00E01C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C9D"/>
  </w:style>
  <w:style w:type="table" w:styleId="Grilledutableau">
    <w:name w:val="Table Grid"/>
    <w:basedOn w:val="TableauNormal"/>
    <w:uiPriority w:val="39"/>
    <w:rsid w:val="0080680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806809"/>
    <w:rPr>
      <w:color w:val="0000FF"/>
      <w:u w:val="single"/>
    </w:rPr>
  </w:style>
  <w:style w:type="character" w:styleId="Mentionnonrsolue">
    <w:name w:val="Unresolved Mention"/>
    <w:basedOn w:val="Policepardfaut"/>
    <w:uiPriority w:val="99"/>
    <w:semiHidden/>
    <w:unhideWhenUsed/>
    <w:rsid w:val="00A560FB"/>
    <w:rPr>
      <w:color w:val="605E5C"/>
      <w:shd w:val="clear" w:color="auto" w:fill="E1DFDD"/>
    </w:rPr>
  </w:style>
  <w:style w:type="character" w:styleId="Lienhypertextesuivivisit">
    <w:name w:val="FollowedHyperlink"/>
    <w:basedOn w:val="Policepardfaut"/>
    <w:uiPriority w:val="99"/>
    <w:semiHidden/>
    <w:unhideWhenUsed/>
    <w:rsid w:val="002177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10254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fr_fr/newsroom/pressebild/10254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E958F-51F6-4329-ADB6-DAB4FF5A62BB}">
  <ds:schemaRefs>
    <ds:schemaRef ds:uri="http://schemas.microsoft.com/sharepoint/v3/contenttype/forms"/>
  </ds:schemaRefs>
</ds:datastoreItem>
</file>

<file path=customXml/itemProps2.xml><?xml version="1.0" encoding="utf-8"?>
<ds:datastoreItem xmlns:ds="http://schemas.openxmlformats.org/officeDocument/2006/customXml" ds:itemID="{E6B57123-C6A4-4B73-AAF2-C0734D3C498D}">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89DA7423-6BBB-44EA-83D6-D3A5DD089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VITSEM mechanisch</dc:title>
  <dc:subject/>
  <dc:creator>Ammon Felix</dc:creator>
  <cp:keywords/>
  <dc:description/>
  <cp:lastModifiedBy>Dutter Dorothee</cp:lastModifiedBy>
  <cp:revision>7</cp:revision>
  <cp:lastPrinted>2023-07-21T07:14:00Z</cp:lastPrinted>
  <dcterms:created xsi:type="dcterms:W3CDTF">2023-07-21T07:46:00Z</dcterms:created>
  <dcterms:modified xsi:type="dcterms:W3CDTF">2023-08-31T14:47:00Z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